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10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ascii="Times New Roman" w:hAnsi="Times New Roman" w:eastAsia="黑体"/>
              </w:rPr>
            </w:pPr>
            <w:r>
              <w:rPr>
                <w:rFonts w:hint="eastAsia" w:ascii="Times New Roman" w:hAnsi="Times New Roman" w:eastAsia="黑体"/>
                <w:sz w:val="56"/>
                <w:szCs w:val="96"/>
                <w:lang w:val="en-US" w:eastAsia="zh-CN"/>
              </w:rPr>
              <w:t>湖南师范大学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 w:val="56"/>
                <w:szCs w:val="56"/>
                <w:lang w:val="en-US" w:eastAsia="zh-CN"/>
              </w:rPr>
            </w:pPr>
            <w:r>
              <w:rPr>
                <w:rFonts w:hint="eastAsia" w:ascii="宋体" w:hAnsi="宋体"/>
                <w:sz w:val="56"/>
                <w:szCs w:val="56"/>
              </w:rPr>
              <w:t>学工域_</w:t>
            </w:r>
            <w:r>
              <w:rPr>
                <w:rFonts w:hint="eastAsia" w:ascii="宋体" w:hAnsi="宋体"/>
                <w:sz w:val="56"/>
                <w:szCs w:val="56"/>
                <w:lang w:val="en-US" w:eastAsia="zh-CN"/>
              </w:rPr>
              <w:t>综合测评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56"/>
                <w:szCs w:val="56"/>
                <w:lang w:val="en-US" w:eastAsia="zh-CN"/>
              </w:rPr>
              <w:t>辅导员、院系老师操作</w:t>
            </w:r>
            <w:r>
              <w:rPr>
                <w:rFonts w:hint="eastAsia" w:ascii="宋体"/>
                <w:sz w:val="56"/>
                <w:szCs w:val="56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tabs>
          <w:tab w:val="left" w:pos="2771"/>
        </w:tabs>
        <w:jc w:val="center"/>
        <w:rPr>
          <w:sz w:val="44"/>
          <w:szCs w:val="44"/>
        </w:rPr>
      </w:pPr>
      <w:r>
        <w:rPr>
          <w:rFonts w:ascii="宋体" w:hAnsi="宋体"/>
        </w:rPr>
        <w:br w:type="page"/>
      </w:r>
      <w:bookmarkStart w:id="0" w:name="_Toc415573237"/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8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</w:rPr>
        <w:fldChar w:fldCharType="separate"/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_Toc7932 </w:instrText>
      </w:r>
      <w:r>
        <w:rPr>
          <w:rFonts w:ascii="宋体" w:hAnsi="宋体"/>
        </w:rPr>
        <w:fldChar w:fldCharType="separate"/>
      </w:r>
      <w:r>
        <w:t xml:space="preserve">1 </w:t>
      </w:r>
      <w:r>
        <w:rPr>
          <w:rFonts w:hint="eastAsia"/>
        </w:rPr>
        <w:t>应用使用</w:t>
      </w:r>
      <w:r>
        <w:tab/>
      </w:r>
      <w:r>
        <w:rPr>
          <w:rFonts w:hint="eastAsia"/>
          <w:lang w:val="en-US" w:eastAsia="zh-CN"/>
        </w:rPr>
        <w:t>1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_Toc29805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1.1 </w:t>
      </w:r>
      <w:r>
        <w:rPr>
          <w:rFonts w:hint="eastAsia"/>
        </w:rPr>
        <w:t>如何进入应用</w:t>
      </w:r>
      <w:r>
        <w:tab/>
      </w:r>
      <w:r>
        <w:rPr>
          <w:rFonts w:hint="eastAsia"/>
          <w:lang w:val="en-US" w:eastAsia="zh-CN"/>
        </w:rPr>
        <w:t>1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_Toc15802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1.2 </w:t>
      </w:r>
      <w:r>
        <w:rPr>
          <w:rFonts w:hint="eastAsia"/>
        </w:rPr>
        <w:t>如何退出</w:t>
      </w:r>
      <w:r>
        <w:rPr>
          <w:rFonts w:hint="eastAsia"/>
          <w:lang w:val="en-US" w:eastAsia="zh-CN"/>
        </w:rPr>
        <w:t>用户登陆及</w:t>
      </w:r>
      <w:r>
        <w:rPr>
          <w:rFonts w:hint="eastAsia"/>
        </w:rPr>
        <w:t>应用</w:t>
      </w:r>
      <w:r>
        <w:tab/>
      </w:r>
      <w:r>
        <w:rPr>
          <w:rFonts w:hint="eastAsia"/>
          <w:lang w:val="en-US" w:eastAsia="zh-CN"/>
        </w:rPr>
        <w:t>3</w:t>
      </w:r>
      <w:r>
        <w:rPr>
          <w:rFonts w:ascii="宋体" w:hAnsi="宋体"/>
        </w:rPr>
        <w:fldChar w:fldCharType="end"/>
      </w:r>
    </w:p>
    <w:p>
      <w:pPr>
        <w:pStyle w:val="8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_Toc11943 </w:instrText>
      </w:r>
      <w:r>
        <w:rPr>
          <w:rFonts w:ascii="宋体" w:hAnsi="宋体"/>
        </w:rPr>
        <w:fldChar w:fldCharType="separate"/>
      </w:r>
      <w:r>
        <w:t xml:space="preserve">2 </w:t>
      </w:r>
      <w:r>
        <w:rPr>
          <w:rFonts w:hint="eastAsia"/>
        </w:rPr>
        <w:t>使用说明</w:t>
      </w:r>
      <w:r>
        <w:tab/>
      </w:r>
      <w:r>
        <w:rPr>
          <w:rFonts w:hint="eastAsia"/>
          <w:lang w:val="en-US" w:eastAsia="zh-CN"/>
        </w:rPr>
        <w:t>4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_Toc30133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2.1 </w:t>
      </w:r>
      <w:r>
        <w:rPr>
          <w:rFonts w:hint="eastAsia"/>
          <w:lang w:val="en-US" w:eastAsia="zh-CN"/>
        </w:rPr>
        <w:t>测评</w:t>
      </w:r>
      <w:r>
        <w:rPr>
          <w:rFonts w:hint="eastAsia"/>
        </w:rPr>
        <w:t>审核</w:t>
      </w:r>
      <w:r>
        <w:tab/>
      </w:r>
      <w:r>
        <w:rPr>
          <w:rFonts w:hint="eastAsia"/>
          <w:lang w:val="en-US" w:eastAsia="zh-CN"/>
        </w:rPr>
        <w:t>4</w:t>
      </w:r>
      <w:r>
        <w:rPr>
          <w:rFonts w:ascii="宋体" w:hAnsi="宋体"/>
        </w:rPr>
        <w:fldChar w:fldCharType="end"/>
      </w:r>
    </w:p>
    <w:p>
      <w:pPr>
        <w:pStyle w:val="9"/>
        <w:tabs>
          <w:tab w:val="right" w:leader="dot" w:pos="8306"/>
        </w:tabs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HYPERLINK \l _Toc18879 </w:instrText>
      </w:r>
      <w:r>
        <w:rPr>
          <w:rFonts w:ascii="宋体" w:hAnsi="宋体"/>
        </w:rPr>
        <w:fldChar w:fldCharType="separate"/>
      </w:r>
      <w:r>
        <w:rPr>
          <w:rFonts w:hint="default" w:ascii="Trebuchet MS" w:hAnsi="Trebuchet MS"/>
        </w:rPr>
        <w:t xml:space="preserve">2.2 </w:t>
      </w:r>
      <w:r>
        <w:rPr>
          <w:rFonts w:hint="eastAsia"/>
          <w:lang w:val="en-US" w:eastAsia="zh-CN"/>
        </w:rPr>
        <w:t>测评</w:t>
      </w:r>
      <w:r>
        <w:rPr>
          <w:rFonts w:hint="eastAsia"/>
        </w:rPr>
        <w:t>公示</w:t>
      </w:r>
      <w:r>
        <w:tab/>
      </w:r>
      <w:r>
        <w:rPr>
          <w:rFonts w:hint="eastAsia"/>
          <w:lang w:val="en-US" w:eastAsia="zh-CN"/>
        </w:rPr>
        <w:t>7</w:t>
      </w:r>
      <w:r>
        <w:rPr>
          <w:rFonts w:ascii="宋体" w:hAnsi="宋体"/>
        </w:rPr>
        <w:fldChar w:fldCharType="end"/>
      </w:r>
    </w:p>
    <w:p/>
    <w:p>
      <w:pPr>
        <w:rPr>
          <w:rFonts w:ascii="宋体" w:hAnsi="宋体"/>
        </w:rPr>
        <w:sectPr>
          <w:headerReference r:id="rId4" w:type="first"/>
          <w:footerReference r:id="rId6" w:type="first"/>
          <w:headerReference r:id="rId3" w:type="default"/>
          <w:footerReference r:id="rId5" w:type="default"/>
          <w:pgSz w:w="11906" w:h="16838"/>
          <w:pgMar w:top="1440" w:right="1800" w:bottom="1440" w:left="1800" w:header="1020" w:footer="358" w:gutter="0"/>
          <w:pgNumType w:fmt="decimal" w:start="1"/>
          <w:cols w:space="720" w:num="1"/>
          <w:titlePg/>
          <w:docGrid w:type="lines" w:linePitch="312" w:charSpace="0"/>
        </w:sectPr>
      </w:pPr>
      <w:r>
        <w:rPr>
          <w:rFonts w:ascii="宋体" w:hAnsi="宋体"/>
        </w:rPr>
        <w:fldChar w:fldCharType="end"/>
      </w:r>
    </w:p>
    <w:bookmarkEnd w:id="0"/>
    <w:p>
      <w:pPr>
        <w:pStyle w:val="2"/>
        <w:pageBreakBefore/>
        <w:ind w:left="431" w:hanging="431"/>
        <w:rPr>
          <w:sz w:val="36"/>
        </w:rPr>
      </w:pPr>
      <w:bookmarkStart w:id="1" w:name="_Toc11029"/>
      <w:r>
        <w:rPr>
          <w:rFonts w:hint="eastAsia"/>
          <w:sz w:val="36"/>
        </w:rPr>
        <w:t>应用使用</w:t>
      </w:r>
      <w:bookmarkEnd w:id="1"/>
    </w:p>
    <w:p>
      <w:pPr>
        <w:pStyle w:val="3"/>
        <w:ind w:left="828" w:hanging="773" w:hangingChars="275"/>
        <w:rPr>
          <w:sz w:val="28"/>
          <w:szCs w:val="18"/>
        </w:rPr>
      </w:pPr>
      <w:bookmarkStart w:id="2" w:name="_Toc25105"/>
      <w:bookmarkStart w:id="3" w:name="_Toc11377"/>
      <w:r>
        <w:rPr>
          <w:rFonts w:hint="eastAsia"/>
          <w:sz w:val="28"/>
          <w:szCs w:val="18"/>
        </w:rPr>
        <w:t>如何进入应用</w:t>
      </w:r>
      <w:bookmarkEnd w:id="2"/>
      <w:bookmarkEnd w:id="3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sz w:val="24"/>
          <w:szCs w:val="32"/>
        </w:rPr>
      </w:pPr>
      <w:r>
        <w:rPr>
          <w:rFonts w:hint="eastAsia"/>
          <w:sz w:val="24"/>
          <w:szCs w:val="32"/>
          <w:highlight w:val="yellow"/>
        </w:rPr>
        <w:t>支持浏览器IE9+ ,谷歌Chrome最新版，360极速/360安全浏览器最新版、Microsoft Edge 13/14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首先进入</w:t>
      </w:r>
      <w:r>
        <w:rPr>
          <w:rFonts w:hint="eastAsia"/>
          <w:sz w:val="24"/>
          <w:szCs w:val="32"/>
          <w:lang w:val="en-US" w:eastAsia="zh-CN"/>
        </w:rPr>
        <w:t>学校官网然后点击网上办事服务大厅</w:t>
      </w:r>
      <w:r>
        <w:rPr>
          <w:rFonts w:hint="eastAsia"/>
          <w:sz w:val="24"/>
          <w:szCs w:val="32"/>
        </w:rPr>
        <w:t>。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textAlignment w:val="auto"/>
        <w:rPr>
          <w:rFonts w:hint="eastAsia"/>
          <w:color w:val="0000FF"/>
          <w:sz w:val="24"/>
          <w:szCs w:val="32"/>
        </w:rPr>
      </w:pPr>
      <w:r>
        <w:rPr>
          <w:rFonts w:hint="eastAsia"/>
          <w:color w:val="0000FF"/>
          <w:sz w:val="24"/>
          <w:szCs w:val="32"/>
        </w:rPr>
        <w:t>http://xg.hunnu.edu.cn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主要支持以下三种登录方式：</w:t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（1）密码登录：用户名支持学号/邮箱/手机号/证件号   初始密码：身份证后六位(注意有X大小写)。</w:t>
      </w:r>
    </w:p>
    <w:p>
      <w:pPr>
        <w:pStyle w:val="13"/>
        <w:numPr>
          <w:ilvl w:val="0"/>
          <w:numId w:val="0"/>
        </w:numPr>
      </w:pPr>
      <w:r>
        <w:drawing>
          <wp:inline distT="0" distB="0" distL="114300" distR="114300">
            <wp:extent cx="5515610" cy="2593975"/>
            <wp:effectExtent l="0" t="0" r="1270" b="1206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0"/>
          <w:numId w:val="0"/>
        </w:numPr>
        <w:ind w:left="420" w:leftChars="0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2</w:t>
      </w:r>
      <w:r>
        <w:rPr>
          <w:rFonts w:hint="eastAsia"/>
          <w:sz w:val="24"/>
          <w:szCs w:val="32"/>
          <w:lang w:eastAsia="zh-CN"/>
        </w:rPr>
        <w:t>）</w:t>
      </w:r>
      <w:r>
        <w:rPr>
          <w:rFonts w:hint="eastAsia"/>
          <w:sz w:val="24"/>
          <w:szCs w:val="32"/>
          <w:lang w:val="en-US" w:eastAsia="zh-CN"/>
        </w:rPr>
        <w:t>短信验证登录：输入在学校绑定的手机号，通过验证码进入。</w:t>
      </w:r>
    </w:p>
    <w:p>
      <w:pPr>
        <w:pStyle w:val="13"/>
        <w:numPr>
          <w:ilvl w:val="0"/>
          <w:numId w:val="0"/>
        </w:numPr>
      </w:pPr>
      <w:r>
        <w:drawing>
          <wp:inline distT="0" distB="0" distL="114300" distR="114300">
            <wp:extent cx="5515610" cy="2593975"/>
            <wp:effectExtent l="0" t="0" r="1270" b="1206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0"/>
          <w:numId w:val="0"/>
        </w:numPr>
        <w:ind w:left="420" w:leftChars="0"/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3</w:t>
      </w:r>
      <w:r>
        <w:rPr>
          <w:rFonts w:hint="eastAsia"/>
          <w:sz w:val="24"/>
          <w:szCs w:val="32"/>
          <w:lang w:eastAsia="zh-CN"/>
        </w:rPr>
        <w:t>）</w:t>
      </w:r>
      <w:r>
        <w:rPr>
          <w:rFonts w:hint="eastAsia"/>
          <w:sz w:val="24"/>
          <w:szCs w:val="32"/>
          <w:lang w:val="en-US" w:eastAsia="zh-CN"/>
        </w:rPr>
        <w:t>扫码登录：用户打开湖南师范大学App，扫描二维码进入。</w:t>
      </w:r>
    </w:p>
    <w:p>
      <w:pPr>
        <w:pStyle w:val="13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15610" cy="2593975"/>
            <wp:effectExtent l="0" t="0" r="1270" b="12065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用户可在左侧“奖惩管理”中点击【综合测评】进入；或者在上方搜索框搜索【综合测评】应用，选择不同的端口点击进入。</w:t>
      </w:r>
    </w:p>
    <w:p>
      <w:pPr>
        <w:pStyle w:val="13"/>
        <w:ind w:firstLine="0" w:firstLineChars="0"/>
      </w:pPr>
      <w:r>
        <w:drawing>
          <wp:inline distT="0" distB="0" distL="114300" distR="114300">
            <wp:extent cx="5523230" cy="2695575"/>
            <wp:effectExtent l="0" t="0" r="127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13"/>
        <w:ind w:firstLine="0" w:firstLineChars="0"/>
      </w:pPr>
    </w:p>
    <w:p>
      <w:pPr>
        <w:pStyle w:val="3"/>
        <w:ind w:left="828" w:hanging="828" w:hangingChars="275"/>
      </w:pPr>
      <w:bookmarkStart w:id="4" w:name="_Toc2553"/>
      <w:bookmarkStart w:id="5" w:name="_Toc6527"/>
      <w:r>
        <w:rPr>
          <w:rFonts w:hint="eastAsia"/>
        </w:rPr>
        <w:t>如何退出</w:t>
      </w:r>
      <w:r>
        <w:rPr>
          <w:rFonts w:hint="eastAsia"/>
          <w:lang w:val="en-US" w:eastAsia="zh-CN"/>
        </w:rPr>
        <w:t>用户登陆及</w:t>
      </w:r>
      <w:r>
        <w:rPr>
          <w:rFonts w:hint="eastAsia"/>
        </w:rPr>
        <w:t>应用</w:t>
      </w:r>
      <w:bookmarkEnd w:id="4"/>
      <w:bookmarkEnd w:id="5"/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1.点击右上角图标，可安全退出用户登陆。</w:t>
      </w:r>
    </w:p>
    <w:p>
      <w:pPr>
        <w:pStyle w:val="13"/>
        <w:numPr>
          <w:ilvl w:val="0"/>
          <w:numId w:val="0"/>
        </w:numPr>
      </w:pPr>
      <w:r>
        <w:drawing>
          <wp:inline distT="0" distB="0" distL="114300" distR="114300">
            <wp:extent cx="5523230" cy="953135"/>
            <wp:effectExtent l="0" t="0" r="8890" b="6985"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95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560" w:firstLineChars="200"/>
        <w:textAlignment w:val="auto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2.在当前界面打开，直接点击【综合测评】后面的“×”。</w:t>
      </w:r>
    </w:p>
    <w:p>
      <w:pPr>
        <w:pStyle w:val="13"/>
        <w:ind w:firstLine="0" w:firstLineChars="0"/>
      </w:pPr>
      <w:r>
        <w:drawing>
          <wp:inline distT="0" distB="0" distL="114300" distR="114300">
            <wp:extent cx="5523230" cy="3014345"/>
            <wp:effectExtent l="0" t="0" r="1270" b="146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pageBreakBefore/>
        <w:ind w:left="431" w:hanging="431"/>
        <w:rPr>
          <w:sz w:val="36"/>
        </w:rPr>
      </w:pPr>
      <w:bookmarkStart w:id="6" w:name="_Toc11943"/>
      <w:r>
        <w:rPr>
          <w:rFonts w:hint="eastAsia"/>
          <w:sz w:val="36"/>
        </w:rPr>
        <w:t>使用说明</w:t>
      </w:r>
      <w:bookmarkEnd w:id="6"/>
    </w:p>
    <w:p>
      <w:pPr>
        <w:pStyle w:val="3"/>
        <w:ind w:left="828" w:hanging="828" w:hangingChars="275"/>
        <w:rPr>
          <w:rFonts w:hint="eastAsia"/>
        </w:rPr>
      </w:pPr>
      <w:bookmarkStart w:id="7" w:name="_Toc30133"/>
      <w:bookmarkStart w:id="8" w:name="_Toc30440"/>
      <w:r>
        <w:rPr>
          <w:rFonts w:hint="eastAsia"/>
          <w:lang w:val="en-US" w:eastAsia="zh-CN"/>
        </w:rPr>
        <w:t>测评</w:t>
      </w:r>
      <w:r>
        <w:rPr>
          <w:rFonts w:hint="eastAsia"/>
        </w:rPr>
        <w:t>审核</w:t>
      </w:r>
      <w:bookmarkEnd w:id="7"/>
      <w:bookmarkEnd w:id="8"/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学生申请</w:t>
      </w:r>
      <w:r>
        <w:rPr>
          <w:rFonts w:hint="eastAsia"/>
          <w:lang w:val="en-US" w:eastAsia="zh-CN"/>
        </w:rPr>
        <w:t>个人测评</w:t>
      </w:r>
      <w:r>
        <w:rPr>
          <w:rFonts w:hint="eastAsia"/>
        </w:rPr>
        <w:t>之后一般需要相关部门进行审核，审核的流程可在</w:t>
      </w:r>
      <w:r>
        <w:rPr>
          <w:rFonts w:hint="eastAsia"/>
          <w:lang w:val="en-US" w:eastAsia="zh-CN"/>
        </w:rPr>
        <w:t>测评设置</w:t>
      </w:r>
      <w:r>
        <w:rPr>
          <w:rFonts w:hint="eastAsia"/>
        </w:rPr>
        <w:t>中进行设置。</w:t>
      </w:r>
    </w:p>
    <w:p>
      <w:pPr>
        <w:numPr>
          <w:ilvl w:val="0"/>
          <w:numId w:val="3"/>
        </w:numPr>
      </w:pPr>
      <w:r>
        <w:rPr>
          <w:rFonts w:hint="eastAsia"/>
          <w:lang w:val="en-US" w:eastAsia="zh-CN"/>
        </w:rPr>
        <w:t>综合测评小组设置与院系附加分项管理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511800" cy="2021840"/>
            <wp:effectExtent l="0" t="0" r="12700" b="1651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11800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523230" cy="2554605"/>
            <wp:effectExtent l="0" t="0" r="1270" b="1714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523230" cy="2554605"/>
            <wp:effectExtent l="0" t="0" r="1270" b="1714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  <w:rPr>
          <w:rFonts w:hint="eastAsia"/>
        </w:rPr>
      </w:pPr>
    </w:p>
    <w:p>
      <w:pPr>
        <w:numPr>
          <w:ilvl w:val="0"/>
          <w:numId w:val="3"/>
        </w:numPr>
      </w:pPr>
      <w:r>
        <w:rPr>
          <w:rFonts w:hint="eastAsia"/>
        </w:rPr>
        <w:t>审核</w:t>
      </w:r>
    </w:p>
    <w:p>
      <w:pPr>
        <w:numPr>
          <w:ilvl w:val="0"/>
          <w:numId w:val="0"/>
        </w:numPr>
        <w:ind w:firstLine="420" w:firstLineChars="200"/>
      </w:pPr>
      <w:r>
        <w:rPr>
          <w:rFonts w:hint="eastAsia"/>
          <w:lang w:val="en-US" w:eastAsia="zh-CN"/>
        </w:rPr>
        <w:t>1.</w:t>
      </w:r>
      <w:r>
        <w:rPr>
          <w:rFonts w:hint="eastAsia"/>
        </w:rPr>
        <w:t>拥有</w:t>
      </w:r>
      <w:r>
        <w:rPr>
          <w:rFonts w:hint="eastAsia"/>
          <w:lang w:val="en-US" w:eastAsia="zh-CN"/>
        </w:rPr>
        <w:t>测评</w:t>
      </w:r>
      <w:r>
        <w:rPr>
          <w:rFonts w:hint="eastAsia"/>
        </w:rPr>
        <w:t>审核权限的老师使用账号进入到</w:t>
      </w:r>
      <w:r>
        <w:rPr>
          <w:rFonts w:hint="eastAsia"/>
          <w:lang w:val="en-US" w:eastAsia="zh-CN"/>
        </w:rPr>
        <w:t>综合测评应用</w:t>
      </w:r>
      <w:r>
        <w:rPr>
          <w:rFonts w:hint="eastAsia"/>
        </w:rPr>
        <w:t>之后，点击进入</w:t>
      </w:r>
      <w:r>
        <w:rPr>
          <w:rFonts w:hint="eastAsia"/>
          <w:lang w:val="en-US" w:eastAsia="zh-CN"/>
        </w:rPr>
        <w:t>测评</w:t>
      </w:r>
      <w:r>
        <w:rPr>
          <w:rFonts w:hint="eastAsia"/>
        </w:rPr>
        <w:t>审核页面，</w:t>
      </w:r>
      <w:r>
        <w:rPr>
          <w:rFonts w:hint="eastAsia"/>
          <w:lang w:val="en-US" w:eastAsia="zh-CN"/>
        </w:rPr>
        <w:t>班主任、辅导员以及</w:t>
      </w:r>
      <w:r>
        <w:rPr>
          <w:rFonts w:hint="eastAsia"/>
        </w:rPr>
        <w:t>学院老师只能看到</w:t>
      </w:r>
      <w:r>
        <w:rPr>
          <w:rFonts w:hint="eastAsia"/>
          <w:lang w:val="en-US" w:eastAsia="zh-CN"/>
        </w:rPr>
        <w:t>自己所负责的班级和</w:t>
      </w:r>
      <w:r>
        <w:rPr>
          <w:rFonts w:hint="eastAsia"/>
        </w:rPr>
        <w:t>院系下的学生信息，学校老师可看到所有学院的学生信息。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40" w:firstLineChars="20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（1）点击计算算出学生总成绩，然后</w:t>
      </w:r>
      <w:bookmarkStart w:id="9" w:name="_GoBack"/>
      <w:bookmarkEnd w:id="9"/>
      <w:r>
        <w:rPr>
          <w:rFonts w:hint="eastAsia"/>
          <w:sz w:val="22"/>
          <w:szCs w:val="28"/>
          <w:lang w:val="en-US" w:eastAsia="zh-CN"/>
        </w:rPr>
        <w:t>对学生进行批量审核通过，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</w:pPr>
      <w:r>
        <w:drawing>
          <wp:inline distT="0" distB="0" distL="114300" distR="114300">
            <wp:extent cx="5514340" cy="1791970"/>
            <wp:effectExtent l="0" t="0" r="10160" b="1778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1434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40" w:firstLineChars="20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（2）单个学生审核，点击详情，对学生自评信息进行查看和编辑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</w:pPr>
      <w:r>
        <w:drawing>
          <wp:inline distT="0" distB="0" distL="114300" distR="114300">
            <wp:extent cx="5523230" cy="2385060"/>
            <wp:effectExtent l="0" t="0" r="1270" b="1524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40" w:firstLineChars="20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（3）退回、导入、导出与批量打印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</w:pPr>
      <w:r>
        <w:drawing>
          <wp:inline distT="0" distB="0" distL="114300" distR="114300">
            <wp:extent cx="5524500" cy="1577340"/>
            <wp:effectExtent l="0" t="0" r="0" b="381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40" w:firstLineChars="200"/>
        <w:textAlignment w:val="auto"/>
        <w:rPr>
          <w:rFonts w:hint="default"/>
          <w:sz w:val="22"/>
          <w:szCs w:val="28"/>
          <w:lang w:val="en-US" w:eastAsia="zh-CN"/>
        </w:rPr>
      </w:pPr>
      <w:r>
        <w:rPr>
          <w:rFonts w:hint="eastAsia"/>
          <w:sz w:val="22"/>
          <w:szCs w:val="28"/>
          <w:lang w:val="en-US" w:eastAsia="zh-CN"/>
        </w:rPr>
        <w:t>（3）点击“查看统计”可产看已有权限下各专业班级的测评情况，点击“关闭”即可返回主界面。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</w:pPr>
      <w:r>
        <w:drawing>
          <wp:inline distT="0" distB="0" distL="114300" distR="114300">
            <wp:extent cx="5516880" cy="2946400"/>
            <wp:effectExtent l="0" t="0" r="7620" b="635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0"/>
        </w:numPr>
        <w:ind w:firstLine="281" w:firstLineChars="100"/>
        <w:rPr>
          <w:rFonts w:hint="default"/>
          <w:sz w:val="28"/>
          <w:szCs w:val="18"/>
          <w:lang w:val="en-US" w:eastAsia="zh-CN"/>
        </w:rPr>
      </w:pPr>
      <w:r>
        <w:rPr>
          <w:rFonts w:hint="eastAsia"/>
          <w:sz w:val="28"/>
          <w:szCs w:val="18"/>
          <w:lang w:val="en-US" w:eastAsia="zh-CN"/>
        </w:rPr>
        <w:t>2.2测评结果查询</w:t>
      </w:r>
    </w:p>
    <w:p>
      <w:r>
        <w:rPr>
          <w:rFonts w:hint="eastAsia"/>
          <w:sz w:val="24"/>
          <w:szCs w:val="16"/>
          <w:lang w:val="en-US" w:eastAsia="zh-CN"/>
        </w:rPr>
        <w:t>一般作为综合评测的最终审核节点，具有最高权限，可以审核查看统计所有学生评测信息</w:t>
      </w:r>
    </w:p>
    <w:p>
      <w:r>
        <w:drawing>
          <wp:inline distT="0" distB="0" distL="114300" distR="114300">
            <wp:extent cx="5523230" cy="1921510"/>
            <wp:effectExtent l="0" t="0" r="1270" b="2540"/>
            <wp:docPr id="3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192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516245" cy="2279015"/>
            <wp:effectExtent l="0" t="0" r="8255" b="6985"/>
            <wp:docPr id="3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1624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0"/>
        </w:numPr>
        <w:ind w:firstLine="281" w:firstLineChars="100"/>
        <w:rPr>
          <w:rFonts w:hint="default"/>
          <w:sz w:val="28"/>
          <w:szCs w:val="18"/>
          <w:lang w:val="en-US" w:eastAsia="zh-CN"/>
        </w:rPr>
      </w:pPr>
      <w:r>
        <w:rPr>
          <w:rFonts w:hint="eastAsia"/>
          <w:sz w:val="28"/>
          <w:szCs w:val="18"/>
          <w:lang w:val="en-US" w:eastAsia="zh-CN"/>
        </w:rPr>
        <w:t>2.3测评结果公示</w:t>
      </w:r>
    </w:p>
    <w:p>
      <w:pPr>
        <w:rPr>
          <w:rFonts w:hint="eastAsia"/>
          <w:sz w:val="24"/>
          <w:szCs w:val="16"/>
          <w:lang w:val="en-US" w:eastAsia="zh-CN"/>
        </w:rPr>
      </w:pPr>
      <w:r>
        <w:rPr>
          <w:rFonts w:hint="eastAsia"/>
          <w:sz w:val="24"/>
          <w:szCs w:val="16"/>
          <w:lang w:val="en-US" w:eastAsia="zh-CN"/>
        </w:rPr>
        <w:t>一般作为综合评测的最终审核节点，具有最高权限，可以审核查看统计所有学生评测信息</w:t>
      </w:r>
    </w:p>
    <w:p>
      <w:r>
        <w:drawing>
          <wp:inline distT="0" distB="0" distL="114300" distR="114300">
            <wp:extent cx="5510530" cy="1783715"/>
            <wp:effectExtent l="0" t="0" r="13970" b="6985"/>
            <wp:docPr id="4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17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right"/>
      </w:pPr>
      <w:r>
        <w:rPr>
          <w:rFonts w:hint="eastAsia"/>
          <w:b/>
        </w:rPr>
        <w:t>＝＝文档结束＝＝</w:t>
      </w:r>
    </w:p>
    <w:sectPr>
      <w:headerReference r:id="rId7" w:type="default"/>
      <w:footerReference r:id="rId8" w:type="default"/>
      <w:pgSz w:w="11906" w:h="16838"/>
      <w:pgMar w:top="1440" w:right="1406" w:bottom="1440" w:left="1797" w:header="851" w:footer="358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tabs>
        <w:tab w:val="left" w:pos="5031"/>
        <w:tab w:val="clear" w:pos="4153"/>
      </w:tabs>
    </w:pPr>
    <w:r>
      <w:rPr>
        <w:rFonts w:hint="eastAsia"/>
        <w:lang w:eastAsia="zh-CN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ascii="宋体" w:hAnsi="宋体"/>
      </w:rPr>
    </w:pPr>
  </w:p>
  <w:p>
    <w:pPr>
      <w:pStyle w:val="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ascii="宋体" w:hAnsi="宋体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>5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4cw9va4BAABLAwAADgAAAGRycy9lMm9Eb2MueG1srVNLbtswEN0H6B0I&#10;7mMqWgSGYDloESQIULQBkhyApkiLAH8Y0pZ8gfYGWXXTfc7lc2RIW07a7IpuqOHM8M17M6PF1WgN&#10;2UqI2ruWXswqSqQTvtNu3dKnx5vzOSUxcddx451s6U5GerX8dLYYQiNr33vTSSAI4mIzhJb2KYWG&#10;sSh6aXmc+SAdBpUHyxNeYc064AOiW8Pqqrpkg4cugBcyRvReH4J0WfCVkiJ9VyrKRExLkVsqJ5Rz&#10;lU+2XPBmDTz0Whxp8H9gYbl2WPQEdc0TJxvQH6CsFuCjV2kmvGVeKS1k0YBqLqq/1Dz0PMiiBZsT&#10;w6lN8f/Bim/beyC6a2lNieMWR7R//rn/9bL//YPUuT1DiA1mPQTMS+MXP+KYJ39EZ1Y9KrD5i3oI&#10;xrHRu1Nz5ZiIyI/m9XxeYUhgbLogPnt7HiCmW+ktyUZLAadXmsq3X2M6pE4puZrzN9qYMkHj/nAg&#10;ZvawzP3AMVtpXI1HQSvf7VDPgINvqcPNpMTcOexr3pHJgMlYTcYmgF73ZYlyvRg+bxKSKNxyhQPs&#10;sTBOrKg7bldeiff3kvX2Dyxf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M6pebnPAAAABQEAAA8A&#10;AAAAAAAAAQAgAAAAIgAAAGRycy9kb3ducmV2LnhtbFBLAQIUABQAAAAIAIdO4kDhzD29rgEAAEsD&#10;AAAOAAAAAAAAAAEAIAAAAB4BAABkcnMvZTJvRG9jLnhtbFBLBQYAAAAABgAGAFkBAAA+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val="en-US" w:eastAsia="zh-CN"/>
                      </w:rPr>
                      <w:t>5</w:t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lvlText w:val="%1.%2.%3.%4.%5"/>
      <w:lvlJc w:val="left"/>
      <w:pPr>
        <w:ind w:left="1008" w:hanging="1008"/>
      </w:pPr>
    </w:lvl>
    <w:lvl w:ilvl="5" w:tentative="0">
      <w:start w:val="1"/>
      <w:numFmt w:val="decimal"/>
      <w:lvlText w:val="%1.%2.%3.%4.%5.%6"/>
      <w:lvlJc w:val="left"/>
      <w:pPr>
        <w:ind w:left="1577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581B6BD3"/>
    <w:multiLevelType w:val="singleLevel"/>
    <w:tmpl w:val="581B6BD3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6F3659AB"/>
    <w:multiLevelType w:val="singleLevel"/>
    <w:tmpl w:val="6F3659A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2570316"/>
    <w:rsid w:val="00C1351D"/>
    <w:rsid w:val="021F1F85"/>
    <w:rsid w:val="02773A01"/>
    <w:rsid w:val="042B3F62"/>
    <w:rsid w:val="04D36474"/>
    <w:rsid w:val="083620D4"/>
    <w:rsid w:val="0A6B1112"/>
    <w:rsid w:val="0AF75512"/>
    <w:rsid w:val="0C5546E8"/>
    <w:rsid w:val="0F837ABB"/>
    <w:rsid w:val="0F8A0A45"/>
    <w:rsid w:val="0FE84290"/>
    <w:rsid w:val="10B77723"/>
    <w:rsid w:val="132106A3"/>
    <w:rsid w:val="13D832EE"/>
    <w:rsid w:val="14F7121F"/>
    <w:rsid w:val="16CA7431"/>
    <w:rsid w:val="183753DC"/>
    <w:rsid w:val="19753613"/>
    <w:rsid w:val="1B5967BB"/>
    <w:rsid w:val="1C7D0908"/>
    <w:rsid w:val="1CF0203D"/>
    <w:rsid w:val="223726C7"/>
    <w:rsid w:val="22570316"/>
    <w:rsid w:val="22EE406B"/>
    <w:rsid w:val="24FC5C19"/>
    <w:rsid w:val="259E1A50"/>
    <w:rsid w:val="26734EB5"/>
    <w:rsid w:val="26D32838"/>
    <w:rsid w:val="27892AD5"/>
    <w:rsid w:val="27AB4FA7"/>
    <w:rsid w:val="27BD0482"/>
    <w:rsid w:val="286B59D3"/>
    <w:rsid w:val="29C179AF"/>
    <w:rsid w:val="2B7341FA"/>
    <w:rsid w:val="2E7B72AC"/>
    <w:rsid w:val="2ED15515"/>
    <w:rsid w:val="31A24F53"/>
    <w:rsid w:val="33B33D68"/>
    <w:rsid w:val="346D20CE"/>
    <w:rsid w:val="3840549B"/>
    <w:rsid w:val="39F623B4"/>
    <w:rsid w:val="3AAE1043"/>
    <w:rsid w:val="3AB07C52"/>
    <w:rsid w:val="3B90530A"/>
    <w:rsid w:val="3C0D6AB3"/>
    <w:rsid w:val="3CA42DC3"/>
    <w:rsid w:val="3DCD591B"/>
    <w:rsid w:val="3FE11426"/>
    <w:rsid w:val="3FE13793"/>
    <w:rsid w:val="41D41E90"/>
    <w:rsid w:val="45FA3288"/>
    <w:rsid w:val="474F3656"/>
    <w:rsid w:val="4786316B"/>
    <w:rsid w:val="47FD3D47"/>
    <w:rsid w:val="49C7012C"/>
    <w:rsid w:val="4D7E551D"/>
    <w:rsid w:val="4DE84371"/>
    <w:rsid w:val="4EC13F1C"/>
    <w:rsid w:val="4FDE3701"/>
    <w:rsid w:val="5753472E"/>
    <w:rsid w:val="588A6AD2"/>
    <w:rsid w:val="5A532A63"/>
    <w:rsid w:val="5A703940"/>
    <w:rsid w:val="5AB165A7"/>
    <w:rsid w:val="5ADF331D"/>
    <w:rsid w:val="5B170566"/>
    <w:rsid w:val="5B363F3A"/>
    <w:rsid w:val="5E9878CA"/>
    <w:rsid w:val="5EAB4F2F"/>
    <w:rsid w:val="608C19A9"/>
    <w:rsid w:val="61407C19"/>
    <w:rsid w:val="63462DF1"/>
    <w:rsid w:val="64BA7945"/>
    <w:rsid w:val="653547F0"/>
    <w:rsid w:val="664B088D"/>
    <w:rsid w:val="67434A5E"/>
    <w:rsid w:val="679554B2"/>
    <w:rsid w:val="68A834A5"/>
    <w:rsid w:val="6A094C1A"/>
    <w:rsid w:val="6A0E6F44"/>
    <w:rsid w:val="6AEB6945"/>
    <w:rsid w:val="6C373404"/>
    <w:rsid w:val="6C820C45"/>
    <w:rsid w:val="6F2D1F7B"/>
    <w:rsid w:val="76837DFC"/>
    <w:rsid w:val="77541CF2"/>
    <w:rsid w:val="786A33D3"/>
    <w:rsid w:val="79F77C22"/>
    <w:rsid w:val="7AE0366D"/>
    <w:rsid w:val="7B74245C"/>
    <w:rsid w:val="7D2A1649"/>
    <w:rsid w:val="7DE40880"/>
    <w:rsid w:val="7E555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qFormat/>
    <w:uiPriority w:val="0"/>
    <w:pPr>
      <w:numPr>
        <w:ilvl w:val="2"/>
      </w:numPr>
      <w:outlineLvl w:val="2"/>
    </w:pPr>
    <w:rPr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9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character" w:styleId="12">
    <w:name w:val="Hyperlink"/>
    <w:qFormat/>
    <w:uiPriority w:val="99"/>
    <w:rPr>
      <w:color w:val="0000FF"/>
      <w:u w:val="single"/>
    </w:rPr>
  </w:style>
  <w:style w:type="paragraph" w:customStyle="1" w:styleId="13">
    <w:name w:val="列出段落1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2020-08-09T08:56:00Z</dcterms:created>
  <dc:creator>_______荒城旧梦</dc:creator>
  <cp:lastModifiedBy>LWJ</cp:lastModifiedBy>
  <dcterms:modified xsi:type="dcterms:W3CDTF">2020-09-09T15:00:28Z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